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888E9" w14:textId="77777777" w:rsidR="006549D8" w:rsidRPr="00652E92" w:rsidRDefault="006549D8" w:rsidP="006549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1DD9109D" w14:textId="77777777" w:rsidR="006549D8" w:rsidRPr="00652E92" w:rsidRDefault="006549D8" w:rsidP="006549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2B5F12D4" w14:textId="77777777" w:rsidR="006549D8" w:rsidRPr="00652E92" w:rsidRDefault="006549D8" w:rsidP="006549D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814</w:t>
      </w:r>
    </w:p>
    <w:p w14:paraId="796226E7" w14:textId="77777777" w:rsidR="006549D8" w:rsidRDefault="006549D8" w:rsidP="006549D8">
      <w:pPr>
        <w:widowControl w:val="0"/>
        <w:bidi/>
        <w:spacing w:after="0" w:line="252" w:lineRule="auto"/>
        <w:ind w:firstLine="284"/>
        <w:jc w:val="both"/>
        <w:rPr>
          <w:rFonts w:cs="Abz-2 (Badr)"/>
          <w:sz w:val="28"/>
          <w:szCs w:val="28"/>
          <w:rtl/>
          <w:lang w:bidi="fa-IR"/>
        </w:rPr>
      </w:pPr>
      <w:bookmarkStart w:id="0" w:name="_Hlk159096966"/>
    </w:p>
    <w:bookmarkEnd w:id="0"/>
    <w:p w14:paraId="457B6E98" w14:textId="77777777" w:rsidR="006549D8" w:rsidRPr="0014104A" w:rsidRDefault="006549D8" w:rsidP="006549D8">
      <w:pPr>
        <w:pStyle w:val="NormalWeb"/>
        <w:widowControl w:val="0"/>
        <w:bidi/>
        <w:spacing w:before="0" w:beforeAutospacing="0" w:after="0" w:afterAutospacing="0" w:line="254" w:lineRule="auto"/>
        <w:ind w:firstLine="284"/>
        <w:jc w:val="both"/>
        <w:rPr>
          <w:rFonts w:cs="Abz-2 (Badr)"/>
          <w:color w:val="000000" w:themeColor="text1"/>
          <w:spacing w:val="-2"/>
          <w:sz w:val="28"/>
          <w:szCs w:val="28"/>
          <w:rtl/>
          <w:lang w:bidi="ar"/>
        </w:rPr>
      </w:pPr>
      <w:r w:rsidRPr="0014104A">
        <w:rPr>
          <w:rFonts w:cs="Abz-2 (Badr)" w:hint="cs"/>
          <w:color w:val="000000" w:themeColor="text1"/>
          <w:spacing w:val="-2"/>
          <w:sz w:val="28"/>
          <w:szCs w:val="28"/>
          <w:rtl/>
          <w:lang w:bidi="ar"/>
        </w:rPr>
        <w:t>گفتيم که شهيد ثانی در استدلال بر عدم ثبوت حق حضانت بر فرزند بالغ رشيد فرموده</w:t>
      </w:r>
      <w:r w:rsidRPr="0014104A">
        <w:rPr>
          <w:rFonts w:cs="Abz-2 (Badr)"/>
          <w:color w:val="000000" w:themeColor="text1"/>
          <w:spacing w:val="-2"/>
          <w:sz w:val="28"/>
          <w:szCs w:val="28"/>
          <w:rtl/>
          <w:lang w:bidi="ar"/>
        </w:rPr>
        <w:softHyphen/>
      </w:r>
      <w:r w:rsidRPr="0014104A">
        <w:rPr>
          <w:rFonts w:cs="Abz-2 (Badr)" w:hint="cs"/>
          <w:color w:val="000000" w:themeColor="text1"/>
          <w:spacing w:val="-2"/>
          <w:sz w:val="28"/>
          <w:szCs w:val="28"/>
          <w:rtl/>
          <w:lang w:bidi="ar"/>
        </w:rPr>
        <w:t>اند که چون حضانت ولايت است و کسی بر فرد بالغ رشيد ولايت ندارد، پس حضانت هم بر او ثابت نيست، و اشکال اين استدلال را هم ذکر کرديم.</w:t>
      </w:r>
    </w:p>
    <w:p w14:paraId="2B4E8EAB" w14:textId="77777777" w:rsidR="006549D8" w:rsidRDefault="006549D8" w:rsidP="006549D8">
      <w:pPr>
        <w:pStyle w:val="NormalWeb"/>
        <w:widowControl w:val="0"/>
        <w:bidi/>
        <w:spacing w:before="0" w:beforeAutospacing="0" w:after="0" w:afterAutospacing="0" w:line="254"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بنابر اين بهتر است در استدلال بر اين مدعا اين گونه گفته شود که چون جعل حق حضانت برای حاضن توسط شارع از باب امتنان است و محدوده حقوق امتنانی تا جايی است که به ضرر غير نباشد و جعل حضانت برای حاضن بعد از بلوغ محضون، سبب تضييق دايره سلطه او بر نفس خود می</w:t>
      </w:r>
      <w:r>
        <w:rPr>
          <w:rFonts w:cs="Abz-2 (Badr)"/>
          <w:color w:val="000000" w:themeColor="text1"/>
          <w:sz w:val="28"/>
          <w:szCs w:val="28"/>
          <w:rtl/>
          <w:lang w:bidi="ar"/>
        </w:rPr>
        <w:softHyphen/>
      </w:r>
      <w:r>
        <w:rPr>
          <w:rFonts w:cs="Abz-2 (Badr)" w:hint="cs"/>
          <w:color w:val="000000" w:themeColor="text1"/>
          <w:sz w:val="28"/>
          <w:szCs w:val="28"/>
          <w:rtl/>
          <w:lang w:bidi="ar"/>
        </w:rPr>
        <w:t>شود که برای او ضرری است، در نتيجه نمی</w:t>
      </w:r>
      <w:r>
        <w:rPr>
          <w:rFonts w:cs="Abz-2 (Badr)"/>
          <w:color w:val="000000" w:themeColor="text1"/>
          <w:sz w:val="28"/>
          <w:szCs w:val="28"/>
          <w:rtl/>
          <w:lang w:bidi="ar"/>
        </w:rPr>
        <w:softHyphen/>
      </w:r>
      <w:r>
        <w:rPr>
          <w:rFonts w:cs="Abz-2 (Badr)" w:hint="cs"/>
          <w:color w:val="000000" w:themeColor="text1"/>
          <w:sz w:val="28"/>
          <w:szCs w:val="28"/>
          <w:rtl/>
          <w:lang w:bidi="ar"/>
        </w:rPr>
        <w:t>توان ادعای اطلاق در ادله حضانت نمود به نحوی که شامل بعد از بلوغ محضون نيز بشوند.</w:t>
      </w:r>
    </w:p>
    <w:p w14:paraId="7FC3FA9A" w14:textId="77777777" w:rsidR="006549D8" w:rsidRDefault="006549D8" w:rsidP="006549D8">
      <w:pPr>
        <w:pStyle w:val="NormalWeb"/>
        <w:widowControl w:val="0"/>
        <w:bidi/>
        <w:spacing w:before="0" w:beforeAutospacing="0" w:after="0" w:afterAutospacing="0" w:line="254"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اگر گفته شود: حاضن می</w:t>
      </w:r>
      <w:r>
        <w:rPr>
          <w:rFonts w:cs="Abz-2 (Badr)"/>
          <w:color w:val="000000" w:themeColor="text1"/>
          <w:sz w:val="28"/>
          <w:szCs w:val="28"/>
          <w:rtl/>
          <w:lang w:bidi="ar"/>
        </w:rPr>
        <w:softHyphen/>
      </w:r>
      <w:r>
        <w:rPr>
          <w:rFonts w:cs="Abz-2 (Badr)" w:hint="cs"/>
          <w:color w:val="000000" w:themeColor="text1"/>
          <w:sz w:val="28"/>
          <w:szCs w:val="28"/>
          <w:rtl/>
          <w:lang w:bidi="ar"/>
        </w:rPr>
        <w:t>توان بعد از بلوغ محضون، با اخذ اذن از وی مشغول حضانت او گردد که در اين صورت ديگر حضانت، منافاتی با سلطه محضون بر نفس خود نخواهد داشت.</w:t>
      </w:r>
    </w:p>
    <w:p w14:paraId="1C71E6E6" w14:textId="77777777" w:rsidR="006549D8" w:rsidRDefault="006549D8" w:rsidP="006549D8">
      <w:pPr>
        <w:pStyle w:val="NormalWeb"/>
        <w:widowControl w:val="0"/>
        <w:bidi/>
        <w:spacing w:before="0" w:beforeAutospacing="0" w:after="0" w:afterAutospacing="0" w:line="254"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پاسخ اين است که اين صورت خارج از فرض کلام است، زيرا مراد از حضانت در ما نحن فيه اين است که حاضن از جانب شارع حق تصرّف در نفس محضون را داشته باشد، وگرنه نگهداری از هر شخصی با اذن خود وی مطلبی است که جواز آن مسلّم است.</w:t>
      </w:r>
    </w:p>
    <w:p w14:paraId="58B3D042" w14:textId="77777777" w:rsidR="006549D8" w:rsidRDefault="006549D8" w:rsidP="006549D8">
      <w:pPr>
        <w:pStyle w:val="NormalWeb"/>
        <w:widowControl w:val="0"/>
        <w:bidi/>
        <w:spacing w:before="0" w:beforeAutospacing="0" w:after="0" w:afterAutospacing="0" w:line="254" w:lineRule="auto"/>
        <w:ind w:firstLine="284"/>
        <w:jc w:val="both"/>
        <w:rPr>
          <w:rFonts w:cs="Abz-2 (Badr)"/>
          <w:color w:val="000000" w:themeColor="text1"/>
          <w:sz w:val="28"/>
          <w:szCs w:val="28"/>
          <w:rtl/>
          <w:lang w:bidi="ar"/>
        </w:rPr>
      </w:pPr>
      <w:bookmarkStart w:id="1" w:name="_Hlk196556431"/>
      <w:r>
        <w:rPr>
          <w:rFonts w:cs="Abz-2 (Badr)" w:hint="cs"/>
          <w:color w:val="000000" w:themeColor="text1"/>
          <w:sz w:val="28"/>
          <w:szCs w:val="28"/>
          <w:rtl/>
          <w:lang w:bidi="ar"/>
        </w:rPr>
        <w:t>البته آنچه که گفته شد در جايی است که فرد بالغ عاقل، نيازمند حضانت نباشد، وگرنه آنچه که اصحاب فرموده</w:t>
      </w:r>
      <w:r>
        <w:rPr>
          <w:rFonts w:cs="Abz-2 (Badr)"/>
          <w:color w:val="000000" w:themeColor="text1"/>
          <w:sz w:val="28"/>
          <w:szCs w:val="28"/>
          <w:rtl/>
          <w:lang w:bidi="ar"/>
        </w:rPr>
        <w:softHyphen/>
      </w:r>
      <w:r>
        <w:rPr>
          <w:rFonts w:cs="Abz-2 (Badr)" w:hint="cs"/>
          <w:color w:val="000000" w:themeColor="text1"/>
          <w:sz w:val="28"/>
          <w:szCs w:val="28"/>
          <w:rtl/>
          <w:lang w:bidi="ar"/>
        </w:rPr>
        <w:t>اند مبنی بر اين که انتخاب اين که در نزد پدر بماند يا مادر، در اختيار خود اوست، مدعای صحيحی است.</w:t>
      </w:r>
    </w:p>
    <w:p w14:paraId="0549517E" w14:textId="77777777" w:rsidR="006549D8" w:rsidRDefault="006549D8" w:rsidP="006549D8">
      <w:pPr>
        <w:pStyle w:val="NormalWeb"/>
        <w:widowControl w:val="0"/>
        <w:bidi/>
        <w:spacing w:before="0" w:beforeAutospacing="0" w:after="0" w:afterAutospacing="0" w:line="254"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اما چنانچه فردی که محضون برای حضانت خود از بين پدر و مادر اختيار کرده است، حاضر به حضانت از وی نشود، تکليف چيست؟ آيا می</w:t>
      </w:r>
      <w:r>
        <w:rPr>
          <w:rFonts w:cs="Abz-2 (Badr)"/>
          <w:color w:val="000000" w:themeColor="text1"/>
          <w:sz w:val="28"/>
          <w:szCs w:val="28"/>
          <w:rtl/>
          <w:lang w:bidi="ar"/>
        </w:rPr>
        <w:softHyphen/>
      </w:r>
      <w:r>
        <w:rPr>
          <w:rFonts w:cs="Abz-2 (Badr)" w:hint="cs"/>
          <w:color w:val="000000" w:themeColor="text1"/>
          <w:sz w:val="28"/>
          <w:szCs w:val="28"/>
          <w:rtl/>
          <w:lang w:bidi="ar"/>
        </w:rPr>
        <w:t>توان در اين صورت وی را به حضانت الزام نمود؟</w:t>
      </w:r>
    </w:p>
    <w:p w14:paraId="68C7F642" w14:textId="77777777" w:rsidR="006549D8" w:rsidRPr="0014104A" w:rsidRDefault="006549D8" w:rsidP="006549D8">
      <w:pPr>
        <w:pStyle w:val="NormalWeb"/>
        <w:widowControl w:val="0"/>
        <w:bidi/>
        <w:spacing w:before="0" w:beforeAutospacing="0" w:after="0" w:afterAutospacing="0" w:line="254" w:lineRule="auto"/>
        <w:ind w:firstLine="284"/>
        <w:jc w:val="both"/>
        <w:rPr>
          <w:rFonts w:cs="Abz-2 (Badr)"/>
          <w:color w:val="000000" w:themeColor="text1"/>
          <w:spacing w:val="-4"/>
          <w:sz w:val="28"/>
          <w:szCs w:val="28"/>
          <w:rtl/>
          <w:lang w:bidi="ar"/>
        </w:rPr>
      </w:pPr>
      <w:r w:rsidRPr="0014104A">
        <w:rPr>
          <w:rFonts w:cs="Abz-2 (Badr)" w:hint="cs"/>
          <w:color w:val="000000" w:themeColor="text1"/>
          <w:spacing w:val="-4"/>
          <w:sz w:val="28"/>
          <w:szCs w:val="28"/>
          <w:rtl/>
          <w:lang w:bidi="ar"/>
        </w:rPr>
        <w:t xml:space="preserve">حق اين است که دليلی برای امکان الزام پدر يا مادر برای حضانت فرزند بعد از بلوغ وی وجود ندارد بلکه چنانچه </w:t>
      </w:r>
      <w:r w:rsidRPr="0014104A">
        <w:rPr>
          <w:rFonts w:cs="Abz-2 (Badr)" w:hint="cs"/>
          <w:color w:val="000000" w:themeColor="text1"/>
          <w:spacing w:val="-4"/>
          <w:sz w:val="28"/>
          <w:szCs w:val="28"/>
          <w:rtl/>
          <w:lang w:bidi="ar"/>
        </w:rPr>
        <w:lastRenderedPageBreak/>
        <w:t>فرزند خود دارای اموالی باشد، در صورت امتناع پدر و مادر از حضانت وی، فردی را برای حضانت خود استخدام می</w:t>
      </w:r>
      <w:r w:rsidRPr="0014104A">
        <w:rPr>
          <w:rFonts w:cs="Abz-2 (Badr)"/>
          <w:color w:val="000000" w:themeColor="text1"/>
          <w:spacing w:val="-4"/>
          <w:sz w:val="28"/>
          <w:szCs w:val="28"/>
          <w:rtl/>
          <w:lang w:bidi="ar"/>
        </w:rPr>
        <w:softHyphen/>
      </w:r>
      <w:r w:rsidRPr="0014104A">
        <w:rPr>
          <w:rFonts w:cs="Abz-2 (Badr)" w:hint="cs"/>
          <w:color w:val="000000" w:themeColor="text1"/>
          <w:spacing w:val="-4"/>
          <w:sz w:val="28"/>
          <w:szCs w:val="28"/>
          <w:rtl/>
          <w:lang w:bidi="ar"/>
        </w:rPr>
        <w:t>نمايد، و اگر فاقد اموال باشد، بر کسی که دادن نفقه فرزند بر او واجب است لازم می</w:t>
      </w:r>
      <w:r w:rsidRPr="0014104A">
        <w:rPr>
          <w:rFonts w:cs="Abz-2 (Badr)"/>
          <w:color w:val="000000" w:themeColor="text1"/>
          <w:spacing w:val="-4"/>
          <w:sz w:val="28"/>
          <w:szCs w:val="28"/>
          <w:rtl/>
          <w:lang w:bidi="ar"/>
        </w:rPr>
        <w:softHyphen/>
      </w:r>
      <w:r w:rsidRPr="0014104A">
        <w:rPr>
          <w:rFonts w:cs="Abz-2 (Badr)" w:hint="cs"/>
          <w:color w:val="000000" w:themeColor="text1"/>
          <w:spacing w:val="-4"/>
          <w:sz w:val="28"/>
          <w:szCs w:val="28"/>
          <w:rtl/>
          <w:lang w:bidi="ar"/>
        </w:rPr>
        <w:t>شود که هزينه حضانت او را نيز بپردازد.</w:t>
      </w:r>
    </w:p>
    <w:bookmarkEnd w:id="1"/>
    <w:p w14:paraId="5A3F379D" w14:textId="77777777" w:rsidR="006549D8" w:rsidRPr="000B1B00" w:rsidRDefault="006549D8" w:rsidP="006549D8">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color w:val="000000" w:themeColor="text1"/>
          <w:sz w:val="28"/>
          <w:szCs w:val="28"/>
          <w:rtl/>
          <w:lang w:bidi="ar"/>
        </w:rPr>
        <w:t>اما اين مطلب که حضانت بر بالغ مجنون آيا ثابت است يا خير، در ادامه بحث به آن خواهيم پرداخت ان شاء الله.</w:t>
      </w:r>
    </w:p>
    <w:p w14:paraId="4645629E" w14:textId="77777777" w:rsidR="006549D8" w:rsidRPr="00225F03" w:rsidRDefault="006549D8" w:rsidP="006549D8">
      <w:pPr>
        <w:pStyle w:val="NormalWeb"/>
        <w:widowControl w:val="0"/>
        <w:bidi/>
        <w:spacing w:before="0" w:beforeAutospacing="0" w:after="0" w:afterAutospacing="0" w:line="254" w:lineRule="auto"/>
        <w:ind w:firstLine="284"/>
        <w:jc w:val="both"/>
        <w:rPr>
          <w:rFonts w:cs="Abz-2 (Badr)"/>
          <w:color w:val="C45911" w:themeColor="accent2" w:themeShade="BF"/>
          <w:sz w:val="28"/>
          <w:szCs w:val="28"/>
          <w:rtl/>
          <w:lang w:bidi="fa-IR"/>
        </w:rPr>
      </w:pPr>
      <w:r w:rsidRPr="00225F03">
        <w:rPr>
          <w:rFonts w:cs="Abz-2 (Badr)" w:hint="cs"/>
          <w:color w:val="C45911" w:themeColor="accent2" w:themeShade="BF"/>
          <w:sz w:val="28"/>
          <w:szCs w:val="28"/>
          <w:rtl/>
          <w:lang w:bidi="fa-IR"/>
        </w:rPr>
        <w:t xml:space="preserve">مقام </w:t>
      </w:r>
      <w:r>
        <w:rPr>
          <w:rFonts w:cs="Abz-2 (Badr)" w:hint="cs"/>
          <w:color w:val="C45911" w:themeColor="accent2" w:themeShade="BF"/>
          <w:sz w:val="28"/>
          <w:szCs w:val="28"/>
          <w:rtl/>
          <w:lang w:bidi="fa-IR"/>
        </w:rPr>
        <w:t>هفتم</w:t>
      </w:r>
      <w:r w:rsidRPr="00225F03">
        <w:rPr>
          <w:rFonts w:cs="Abz-2 (Badr)" w:hint="cs"/>
          <w:color w:val="C45911" w:themeColor="accent2" w:themeShade="BF"/>
          <w:sz w:val="28"/>
          <w:szCs w:val="28"/>
          <w:rtl/>
          <w:lang w:bidi="fa-IR"/>
        </w:rPr>
        <w:t>: حضانت</w:t>
      </w:r>
      <w:r>
        <w:rPr>
          <w:rFonts w:cs="Abz-2 (Badr)" w:hint="cs"/>
          <w:color w:val="C45911" w:themeColor="accent2" w:themeShade="BF"/>
          <w:sz w:val="28"/>
          <w:szCs w:val="28"/>
          <w:rtl/>
          <w:lang w:bidi="fa-IR"/>
        </w:rPr>
        <w:t xml:space="preserve"> از فرزند مجنون</w:t>
      </w:r>
    </w:p>
    <w:p w14:paraId="6EE52668" w14:textId="77777777" w:rsidR="006549D8" w:rsidRDefault="006549D8" w:rsidP="006549D8">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در صورتی که فرزند مجنون بوده و هنوز به بلوغ نرسيده باشد، اشکالی در حضانت وی وجود نخواهد داشت، زيرا اطلاقات ادله حضانت شامل وی شده و در نتيجه حضانت او به مانند حضانت فرزند عاقل خواهد بود.</w:t>
      </w:r>
    </w:p>
    <w:p w14:paraId="67FF49E8" w14:textId="77777777" w:rsidR="006549D8" w:rsidRDefault="006549D8" w:rsidP="006549D8">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اما چنانچه فرزند مجنون به بلوغ برسد، حکم حضانت وی چيست؟</w:t>
      </w:r>
    </w:p>
    <w:p w14:paraId="47C3394D" w14:textId="77777777" w:rsidR="006549D8" w:rsidRPr="00E12934" w:rsidRDefault="006549D8" w:rsidP="006549D8">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 xml:space="preserve">سابقاً از ابن جنيد گذشت که فرموده است: </w:t>
      </w:r>
      <w:r w:rsidRPr="00E12934">
        <w:rPr>
          <w:rFonts w:cs="Abz-2 (Badr)" w:hint="cs"/>
          <w:color w:val="0070C0"/>
          <w:sz w:val="28"/>
          <w:szCs w:val="28"/>
          <w:rtl/>
          <w:lang w:bidi="fa-IR"/>
        </w:rPr>
        <w:t>«</w:t>
      </w:r>
      <w:r w:rsidRPr="00E12934">
        <w:rPr>
          <w:rFonts w:cs="Abz-2 (Badr)"/>
          <w:color w:val="0070C0"/>
          <w:sz w:val="28"/>
          <w:szCs w:val="28"/>
          <w:rtl/>
          <w:lang w:bidi="ar"/>
        </w:rPr>
        <w:t>الأ</w:t>
      </w:r>
      <w:r w:rsidRPr="00E12934">
        <w:rPr>
          <w:rFonts w:cs="Abz-2 (Badr)" w:hint="cs"/>
          <w:color w:val="0070C0"/>
          <w:sz w:val="28"/>
          <w:szCs w:val="28"/>
          <w:rtl/>
          <w:lang w:bidi="ar"/>
        </w:rPr>
        <w:t>ُ</w:t>
      </w:r>
      <w:r w:rsidRPr="00E12934">
        <w:rPr>
          <w:rFonts w:cs="Abz-2 (Badr)"/>
          <w:color w:val="0070C0"/>
          <w:sz w:val="28"/>
          <w:szCs w:val="28"/>
          <w:rtl/>
          <w:lang w:bidi="ar"/>
        </w:rPr>
        <w:t>م</w:t>
      </w:r>
      <w:r w:rsidRPr="00E12934">
        <w:rPr>
          <w:rFonts w:cs="Abz-2 (Badr)" w:hint="cs"/>
          <w:color w:val="0070C0"/>
          <w:sz w:val="28"/>
          <w:szCs w:val="28"/>
          <w:rtl/>
          <w:lang w:bidi="ar"/>
        </w:rPr>
        <w:t>ّ</w:t>
      </w:r>
      <w:r w:rsidRPr="00E12934">
        <w:rPr>
          <w:rFonts w:cs="Abz-2 (Badr)"/>
          <w:color w:val="0070C0"/>
          <w:sz w:val="28"/>
          <w:szCs w:val="28"/>
          <w:rtl/>
          <w:lang w:bidi="ar"/>
        </w:rPr>
        <w:t xml:space="preserve"> أحقّ‌ بالصبي</w:t>
      </w:r>
      <w:r w:rsidRPr="00E12934">
        <w:rPr>
          <w:rFonts w:cs="Abz-2 (Badr)" w:hint="cs"/>
          <w:color w:val="0070C0"/>
          <w:sz w:val="28"/>
          <w:szCs w:val="28"/>
          <w:rtl/>
          <w:lang w:bidi="ar"/>
        </w:rPr>
        <w:t>ّ</w:t>
      </w:r>
      <w:r w:rsidRPr="00E12934">
        <w:rPr>
          <w:rFonts w:cs="Abz-2 (Badr)"/>
          <w:color w:val="0070C0"/>
          <w:sz w:val="28"/>
          <w:szCs w:val="28"/>
          <w:rtl/>
          <w:lang w:bidi="ar"/>
        </w:rPr>
        <w:t xml:space="preserve"> إلى سبع سنين، فإذا جاز سبع سنين وهو معتوه كان حكمه حكم الطفل في استحقاق ال</w:t>
      </w:r>
      <w:r w:rsidRPr="00E12934">
        <w:rPr>
          <w:rFonts w:cs="Abz-2 (Badr)" w:hint="cs"/>
          <w:color w:val="0070C0"/>
          <w:sz w:val="28"/>
          <w:szCs w:val="28"/>
          <w:rtl/>
          <w:lang w:bidi="ar"/>
        </w:rPr>
        <w:t>أُ</w:t>
      </w:r>
      <w:r w:rsidRPr="00E12934">
        <w:rPr>
          <w:rFonts w:cs="Abz-2 (Badr)"/>
          <w:color w:val="0070C0"/>
          <w:sz w:val="28"/>
          <w:szCs w:val="28"/>
          <w:rtl/>
          <w:lang w:bidi="ar"/>
        </w:rPr>
        <w:t>م</w:t>
      </w:r>
      <w:r w:rsidRPr="00E12934">
        <w:rPr>
          <w:rFonts w:cs="Abz-2 (Badr)" w:hint="cs"/>
          <w:color w:val="0070C0"/>
          <w:sz w:val="28"/>
          <w:szCs w:val="28"/>
          <w:rtl/>
          <w:lang w:bidi="ar"/>
        </w:rPr>
        <w:t>ّ</w:t>
      </w:r>
      <w:r w:rsidRPr="00E12934">
        <w:rPr>
          <w:rFonts w:cs="Abz-2 (Badr)"/>
          <w:color w:val="0070C0"/>
          <w:sz w:val="28"/>
          <w:szCs w:val="28"/>
          <w:rtl/>
          <w:lang w:bidi="ar"/>
        </w:rPr>
        <w:t xml:space="preserve"> إيّاه</w:t>
      </w:r>
      <w:r w:rsidRPr="00E12934">
        <w:rPr>
          <w:rFonts w:cs="Abz-2 (Badr)" w:hint="cs"/>
          <w:color w:val="0070C0"/>
          <w:sz w:val="28"/>
          <w:szCs w:val="28"/>
          <w:rtl/>
          <w:lang w:bidi="ar"/>
        </w:rPr>
        <w:t>.»</w:t>
      </w:r>
      <w:r>
        <w:rPr>
          <w:rStyle w:val="FootnoteReference"/>
          <w:rFonts w:eastAsiaTheme="majorEastAsia" w:cs="Abz-2 (Badr)"/>
          <w:rtl/>
          <w:lang w:bidi="ar"/>
        </w:rPr>
        <w:footnoteReference w:id="1"/>
      </w:r>
    </w:p>
    <w:p w14:paraId="277A07A8" w14:textId="77777777" w:rsidR="006549D8" w:rsidRDefault="006549D8" w:rsidP="006549D8">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اطلاق کلام ايشان شامل موردی که صبی بالغ شده باشد نيز می</w:t>
      </w:r>
      <w:r>
        <w:rPr>
          <w:rFonts w:cs="Abz-2 (Badr)"/>
          <w:sz w:val="28"/>
          <w:szCs w:val="28"/>
          <w:rtl/>
          <w:lang w:bidi="fa-IR"/>
        </w:rPr>
        <w:softHyphen/>
      </w:r>
      <w:r>
        <w:rPr>
          <w:rFonts w:cs="Abz-2 (Badr)" w:hint="cs"/>
          <w:sz w:val="28"/>
          <w:szCs w:val="28"/>
          <w:rtl/>
          <w:lang w:bidi="fa-IR"/>
        </w:rPr>
        <w:t>شود. مؤيد آن نيز اين است که اين کلام همان گونه که گذشت ظاهراً مأخوذ از کلمات حنابله است که قائل به حضانت مادر بر فرزند مجنون خود ـ اعم از اين که پسر باشد يا دختر ـ ولو بعد از بلوغ وی شده</w:t>
      </w:r>
      <w:r>
        <w:rPr>
          <w:rFonts w:cs="Abz-2 (Badr)"/>
          <w:sz w:val="28"/>
          <w:szCs w:val="28"/>
          <w:rtl/>
          <w:lang w:bidi="fa-IR"/>
        </w:rPr>
        <w:softHyphen/>
      </w:r>
      <w:r>
        <w:rPr>
          <w:rFonts w:cs="Abz-2 (Badr)" w:hint="cs"/>
          <w:sz w:val="28"/>
          <w:szCs w:val="28"/>
          <w:rtl/>
          <w:lang w:bidi="fa-IR"/>
        </w:rPr>
        <w:t>اند.</w:t>
      </w:r>
    </w:p>
    <w:p w14:paraId="0F8472DA" w14:textId="77777777" w:rsidR="006549D8" w:rsidRPr="0009225C" w:rsidRDefault="006549D8" w:rsidP="006549D8">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 xml:space="preserve">علامه هم در قواعد فرموده است: </w:t>
      </w:r>
      <w:r w:rsidRPr="0009225C">
        <w:rPr>
          <w:rFonts w:cs="Abz-2 (Badr)" w:hint="cs"/>
          <w:color w:val="0070C0"/>
          <w:sz w:val="28"/>
          <w:szCs w:val="28"/>
          <w:rtl/>
          <w:lang w:bidi="fa-IR"/>
        </w:rPr>
        <w:t>«</w:t>
      </w:r>
      <w:r w:rsidRPr="0009225C">
        <w:rPr>
          <w:rFonts w:cs="Abz-2 (Badr)"/>
          <w:color w:val="0070C0"/>
          <w:sz w:val="28"/>
          <w:szCs w:val="28"/>
          <w:rtl/>
          <w:lang w:bidi="ar"/>
        </w:rPr>
        <w:t>وتثبت الحضانة على المجنون، لأنّه كالطفل</w:t>
      </w:r>
      <w:r w:rsidRPr="0009225C">
        <w:rPr>
          <w:rFonts w:cs="Abz-2 (Badr)" w:hint="cs"/>
          <w:color w:val="0070C0"/>
          <w:sz w:val="28"/>
          <w:szCs w:val="28"/>
          <w:rtl/>
          <w:lang w:bidi="ar"/>
        </w:rPr>
        <w:t>.»</w:t>
      </w:r>
      <w:r>
        <w:rPr>
          <w:rStyle w:val="FootnoteReference"/>
          <w:rFonts w:eastAsiaTheme="majorEastAsia" w:cs="Abz-2 (Badr)"/>
          <w:rtl/>
          <w:lang w:bidi="ar"/>
        </w:rPr>
        <w:footnoteReference w:id="2"/>
      </w:r>
    </w:p>
    <w:p w14:paraId="6736DF39" w14:textId="77777777" w:rsidR="006549D8" w:rsidRDefault="006549D8" w:rsidP="006549D8">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ظاهر کلمات کسانی که قائل به سقوط حضانت در صورت بلوغ و رشد محضون هستند نيز اين است که در صورت عدم رشد وی ـ که همان گونه که گذشت به معنای جنون اوست ـ حضانت بر وی باقی است.</w:t>
      </w:r>
    </w:p>
    <w:p w14:paraId="3F1E793B" w14:textId="77777777" w:rsidR="006549D8" w:rsidRDefault="006549D8" w:rsidP="006549D8">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اما از اين مطلب معلوم نمی</w:t>
      </w:r>
      <w:r>
        <w:rPr>
          <w:rFonts w:cs="Abz-2 (Badr)"/>
          <w:sz w:val="28"/>
          <w:szCs w:val="28"/>
          <w:rtl/>
          <w:lang w:bidi="fa-IR"/>
        </w:rPr>
        <w:softHyphen/>
      </w:r>
      <w:r>
        <w:rPr>
          <w:rFonts w:cs="Abz-2 (Badr)" w:hint="cs"/>
          <w:sz w:val="28"/>
          <w:szCs w:val="28"/>
          <w:rtl/>
          <w:lang w:bidi="fa-IR"/>
        </w:rPr>
        <w:t>شود که حضانت مجنون با چه کسی است و فقط اصل حضانت بر وی ثابت می</w:t>
      </w:r>
      <w:r>
        <w:rPr>
          <w:rFonts w:cs="Abz-2 (Badr)"/>
          <w:sz w:val="28"/>
          <w:szCs w:val="28"/>
          <w:rtl/>
          <w:lang w:bidi="fa-IR"/>
        </w:rPr>
        <w:softHyphen/>
      </w:r>
      <w:r>
        <w:rPr>
          <w:rFonts w:cs="Abz-2 (Badr)" w:hint="cs"/>
          <w:sz w:val="28"/>
          <w:szCs w:val="28"/>
          <w:rtl/>
          <w:lang w:bidi="fa-IR"/>
        </w:rPr>
        <w:t>گردد.</w:t>
      </w:r>
    </w:p>
    <w:p w14:paraId="0F1D9903" w14:textId="77777777" w:rsidR="006549D8" w:rsidRPr="0009225C" w:rsidRDefault="006549D8" w:rsidP="006549D8">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 xml:space="preserve">اما در تحرير فرموده است: </w:t>
      </w:r>
      <w:r w:rsidRPr="0009225C">
        <w:rPr>
          <w:rFonts w:cs="Abz-2 (Badr)" w:hint="cs"/>
          <w:color w:val="0070C0"/>
          <w:sz w:val="28"/>
          <w:szCs w:val="28"/>
          <w:rtl/>
          <w:lang w:bidi="fa-IR"/>
        </w:rPr>
        <w:t>«</w:t>
      </w:r>
      <w:r w:rsidRPr="0009225C">
        <w:rPr>
          <w:rFonts w:cs="Abz-2 (Badr)"/>
          <w:color w:val="0070C0"/>
          <w:sz w:val="28"/>
          <w:szCs w:val="28"/>
          <w:rtl/>
          <w:lang w:bidi="ar"/>
        </w:rPr>
        <w:t>المجنون أمره إلى الأب وإن بلغ، ذكرا</w:t>
      </w:r>
      <w:r w:rsidRPr="0009225C">
        <w:rPr>
          <w:rFonts w:cs="Abz-2 (Badr)" w:hint="cs"/>
          <w:color w:val="0070C0"/>
          <w:sz w:val="28"/>
          <w:szCs w:val="28"/>
          <w:rtl/>
          <w:lang w:bidi="ar"/>
        </w:rPr>
        <w:t>ً</w:t>
      </w:r>
      <w:r w:rsidRPr="0009225C">
        <w:rPr>
          <w:rFonts w:cs="Abz-2 (Badr)"/>
          <w:color w:val="0070C0"/>
          <w:sz w:val="28"/>
          <w:szCs w:val="28"/>
          <w:rtl/>
          <w:lang w:bidi="ar"/>
        </w:rPr>
        <w:t xml:space="preserve"> كان أو أ</w:t>
      </w:r>
      <w:r w:rsidRPr="0009225C">
        <w:rPr>
          <w:rFonts w:cs="Abz-2 (Badr)" w:hint="cs"/>
          <w:color w:val="0070C0"/>
          <w:sz w:val="28"/>
          <w:szCs w:val="28"/>
          <w:rtl/>
          <w:lang w:bidi="ar"/>
        </w:rPr>
        <w:t>ُ</w:t>
      </w:r>
      <w:r w:rsidRPr="0009225C">
        <w:rPr>
          <w:rFonts w:cs="Abz-2 (Badr)"/>
          <w:color w:val="0070C0"/>
          <w:sz w:val="28"/>
          <w:szCs w:val="28"/>
          <w:rtl/>
          <w:lang w:bidi="ar"/>
        </w:rPr>
        <w:t>نثى</w:t>
      </w:r>
      <w:r w:rsidRPr="0009225C">
        <w:rPr>
          <w:rFonts w:cs="Abz-2 (Badr)" w:hint="cs"/>
          <w:color w:val="0070C0"/>
          <w:sz w:val="28"/>
          <w:szCs w:val="28"/>
          <w:rtl/>
          <w:lang w:bidi="ar"/>
        </w:rPr>
        <w:t>.»</w:t>
      </w:r>
      <w:r>
        <w:rPr>
          <w:rStyle w:val="FootnoteReference"/>
          <w:rFonts w:eastAsiaTheme="majorEastAsia" w:cs="Abz-2 (Badr)"/>
          <w:rtl/>
          <w:lang w:bidi="ar"/>
        </w:rPr>
        <w:footnoteReference w:id="3"/>
      </w:r>
    </w:p>
    <w:p w14:paraId="7D83D3FD" w14:textId="77777777" w:rsidR="006549D8" w:rsidRDefault="006549D8" w:rsidP="006549D8">
      <w:pPr>
        <w:pStyle w:val="NormalWeb"/>
        <w:widowControl w:val="0"/>
        <w:bidi/>
        <w:spacing w:before="0" w:beforeAutospacing="0" w:after="0" w:afterAutospacing="0" w:line="254" w:lineRule="auto"/>
        <w:ind w:firstLine="284"/>
        <w:jc w:val="both"/>
        <w:rPr>
          <w:rFonts w:cs="Abz-2 (Badr)"/>
          <w:color w:val="0070C0"/>
          <w:sz w:val="28"/>
          <w:szCs w:val="28"/>
          <w:rtl/>
          <w:lang w:bidi="ar"/>
        </w:rPr>
      </w:pPr>
      <w:r>
        <w:rPr>
          <w:rFonts w:cs="Abz-2 (Badr)" w:hint="cs"/>
          <w:sz w:val="28"/>
          <w:szCs w:val="28"/>
          <w:rtl/>
          <w:lang w:bidi="fa-IR"/>
        </w:rPr>
        <w:lastRenderedPageBreak/>
        <w:t xml:space="preserve">کاشف اللثام نيز در توضيح مدعای علامه در قواعد فرموده است: </w:t>
      </w:r>
      <w:r w:rsidRPr="00C219F7">
        <w:rPr>
          <w:rFonts w:cs="Abz-2 (Badr)" w:hint="cs"/>
          <w:color w:val="0070C0"/>
          <w:sz w:val="28"/>
          <w:szCs w:val="28"/>
          <w:rtl/>
          <w:lang w:bidi="fa-IR"/>
        </w:rPr>
        <w:t>«</w:t>
      </w:r>
      <w:r w:rsidRPr="00C219F7">
        <w:rPr>
          <w:rFonts w:cs="Abz-2 (Badr)"/>
          <w:color w:val="0070C0"/>
          <w:sz w:val="28"/>
          <w:szCs w:val="28"/>
          <w:rtl/>
          <w:lang w:bidi="ar"/>
        </w:rPr>
        <w:t>ويثبت الحضانة على المجنون البالغ للأب</w:t>
      </w:r>
      <w:r w:rsidRPr="00C219F7">
        <w:rPr>
          <w:rFonts w:cs="Abz-2 (Badr)" w:hint="cs"/>
          <w:color w:val="0070C0"/>
          <w:sz w:val="28"/>
          <w:szCs w:val="28"/>
          <w:rtl/>
          <w:lang w:bidi="ar"/>
        </w:rPr>
        <w:t>،</w:t>
      </w:r>
      <w:r w:rsidRPr="00C219F7">
        <w:rPr>
          <w:rFonts w:cs="Abz-2 (Badr)"/>
          <w:color w:val="0070C0"/>
          <w:sz w:val="28"/>
          <w:szCs w:val="28"/>
          <w:rtl/>
          <w:lang w:bidi="ar"/>
        </w:rPr>
        <w:t xml:space="preserve"> لأنّه كالطفل بل أولى بالحضانة، ول</w:t>
      </w:r>
      <w:r w:rsidRPr="00C219F7">
        <w:rPr>
          <w:rFonts w:cs="Abz-2 (Badr)" w:hint="cs"/>
          <w:color w:val="0070C0"/>
          <w:sz w:val="28"/>
          <w:szCs w:val="28"/>
          <w:rtl/>
          <w:lang w:bidi="ar"/>
        </w:rPr>
        <w:t>مّ</w:t>
      </w:r>
      <w:r w:rsidRPr="00C219F7">
        <w:rPr>
          <w:rFonts w:cs="Abz-2 (Badr)"/>
          <w:color w:val="0070C0"/>
          <w:sz w:val="28"/>
          <w:szCs w:val="28"/>
          <w:rtl/>
          <w:lang w:bidi="ar"/>
        </w:rPr>
        <w:t>ا كان الولد للأب كانت الحضانة له</w:t>
      </w:r>
      <w:r w:rsidRPr="00C219F7">
        <w:rPr>
          <w:rFonts w:cs="Abz-2 (Badr)" w:hint="cs"/>
          <w:color w:val="0070C0"/>
          <w:sz w:val="28"/>
          <w:szCs w:val="28"/>
          <w:rtl/>
          <w:lang w:bidi="ar"/>
        </w:rPr>
        <w:t>.»</w:t>
      </w:r>
      <w:r>
        <w:rPr>
          <w:rStyle w:val="FootnoteReference"/>
          <w:rFonts w:eastAsiaTheme="majorEastAsia" w:cs="Abz-2 (Badr)"/>
          <w:rtl/>
          <w:lang w:bidi="ar"/>
        </w:rPr>
        <w:footnoteReference w:id="4"/>
      </w:r>
    </w:p>
    <w:p w14:paraId="45689130" w14:textId="77777777" w:rsidR="006549D8" w:rsidRDefault="006549D8" w:rsidP="006549D8">
      <w:pPr>
        <w:pStyle w:val="NormalWeb"/>
        <w:widowControl w:val="0"/>
        <w:bidi/>
        <w:spacing w:before="0" w:beforeAutospacing="0" w:after="0" w:afterAutospacing="0" w:line="254" w:lineRule="auto"/>
        <w:ind w:firstLine="284"/>
        <w:jc w:val="both"/>
        <w:rPr>
          <w:rFonts w:cs="Abz-2 (Badr)"/>
          <w:sz w:val="28"/>
          <w:szCs w:val="28"/>
          <w:rtl/>
          <w:lang w:bidi="fa-IR"/>
        </w:rPr>
      </w:pPr>
      <w:bookmarkStart w:id="2" w:name="_Hlk196556407"/>
      <w:r w:rsidRPr="00DA36A2">
        <w:rPr>
          <w:rFonts w:cs="Abz-2 (Badr)" w:hint="cs"/>
          <w:sz w:val="28"/>
          <w:szCs w:val="28"/>
          <w:rtl/>
          <w:lang w:bidi="fa-IR"/>
        </w:rPr>
        <w:t>حق نيز اين است که</w:t>
      </w:r>
      <w:r>
        <w:rPr>
          <w:rFonts w:cs="Abz-2 (Badr)" w:hint="cs"/>
          <w:sz w:val="28"/>
          <w:szCs w:val="28"/>
          <w:rtl/>
          <w:lang w:bidi="fa-IR"/>
        </w:rPr>
        <w:t xml:space="preserve"> حضانت در مجنون بعد از بلوغ وی، تابع ولايت بر اوست و کسی که ولی مجنون است، بايد شرائط حضانت وی را نيز فراهم سازد، چه خود حضانت وی را بر عهده بگيرد و چه کسی را برای حضانت او تعيين نمايد و چون در خصوص فرزندی که در حال جنون به بلوغ رسيده است، خلافی در بقاء ولايت پدر بر وی وجود ندارد، اين امر موکول به پدر است.</w:t>
      </w:r>
    </w:p>
    <w:p w14:paraId="5796B714" w14:textId="77777777" w:rsidR="006549D8" w:rsidRPr="00DA36A2" w:rsidRDefault="006549D8" w:rsidP="006549D8">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اما در خصوص فرزندی که در حال بلوغ، عاقل بوده و پس از آن مجنون شده است، در اين که چه کسی ولايت بر وی را بر عهده دارد، اختلاف وجود دارد و چنانچه قائل به ولايت پدر بر وی شديم، تأمين شرائط حضانت وی نيز بر عهده پدر خواهد بود، وگرنه حاکم شرع اين وظيفه را بر عهده دارد، هرچند هزينه حضانت وی از مال خود او برداشته شده و يا توسط کسی که نفقه مجنون بر او واجب است، پرداخت می</w:t>
      </w:r>
      <w:r>
        <w:rPr>
          <w:rFonts w:cs="Abz-2 (Badr)"/>
          <w:sz w:val="28"/>
          <w:szCs w:val="28"/>
          <w:rtl/>
          <w:lang w:bidi="fa-IR"/>
        </w:rPr>
        <w:softHyphen/>
      </w:r>
      <w:r>
        <w:rPr>
          <w:rFonts w:cs="Abz-2 (Badr)" w:hint="cs"/>
          <w:sz w:val="28"/>
          <w:szCs w:val="28"/>
          <w:rtl/>
          <w:lang w:bidi="fa-IR"/>
        </w:rPr>
        <w:t>گردد.</w:t>
      </w:r>
      <w:r w:rsidRPr="00DA36A2">
        <w:rPr>
          <w:rFonts w:cs="Abz-2 (Badr)" w:hint="cs"/>
          <w:sz w:val="28"/>
          <w:szCs w:val="28"/>
          <w:rtl/>
          <w:lang w:bidi="fa-IR"/>
        </w:rPr>
        <w:t xml:space="preserve"> </w:t>
      </w:r>
    </w:p>
    <w:bookmarkEnd w:id="2"/>
    <w:p w14:paraId="4BFA4F89" w14:textId="77777777" w:rsidR="006549D8" w:rsidRDefault="006549D8" w:rsidP="006549D8">
      <w:pPr>
        <w:pStyle w:val="NormalWeb"/>
        <w:widowControl w:val="0"/>
        <w:bidi/>
        <w:spacing w:before="0" w:beforeAutospacing="0" w:after="0" w:afterAutospacing="0" w:line="257" w:lineRule="auto"/>
        <w:ind w:firstLine="284"/>
        <w:jc w:val="both"/>
        <w:rPr>
          <w:rFonts w:cs="Abz-2 (Badr)"/>
          <w:color w:val="C45911" w:themeColor="accent2" w:themeShade="BF"/>
          <w:sz w:val="28"/>
          <w:szCs w:val="28"/>
          <w:rtl/>
          <w:lang w:bidi="fa-IR"/>
        </w:rPr>
      </w:pPr>
      <w:r w:rsidRPr="00416D57">
        <w:rPr>
          <w:rFonts w:cs="Abz-2 (Badr)" w:hint="cs"/>
          <w:color w:val="C45911" w:themeColor="accent2" w:themeShade="BF"/>
          <w:sz w:val="28"/>
          <w:szCs w:val="28"/>
          <w:rtl/>
          <w:lang w:bidi="fa-IR"/>
        </w:rPr>
        <w:t>مقام هشتم: موارد تقدّم حضانت مادر</w:t>
      </w:r>
    </w:p>
    <w:p w14:paraId="5CCA095E" w14:textId="77777777" w:rsidR="006549D8" w:rsidRDefault="006549D8" w:rsidP="006549D8">
      <w:pPr>
        <w:pStyle w:val="NormalWeb"/>
        <w:widowControl w:val="0"/>
        <w:bidi/>
        <w:spacing w:before="0" w:beforeAutospacing="0" w:after="0" w:afterAutospacing="0" w:line="257" w:lineRule="auto"/>
        <w:ind w:firstLine="284"/>
        <w:jc w:val="both"/>
        <w:rPr>
          <w:rFonts w:cs="Abz-2 (Badr)"/>
          <w:color w:val="000000" w:themeColor="text1"/>
          <w:sz w:val="28"/>
          <w:szCs w:val="28"/>
          <w:rtl/>
          <w:lang w:bidi="fa-IR"/>
        </w:rPr>
      </w:pPr>
      <w:r w:rsidRPr="00416D57">
        <w:rPr>
          <w:rFonts w:cs="Abz-2 (Badr)" w:hint="cs"/>
          <w:color w:val="000000" w:themeColor="text1"/>
          <w:sz w:val="28"/>
          <w:szCs w:val="28"/>
          <w:rtl/>
          <w:lang w:bidi="fa-IR"/>
        </w:rPr>
        <w:t>در برخی از موارد</w:t>
      </w:r>
      <w:r>
        <w:rPr>
          <w:rFonts w:cs="Abz-2 (Badr)" w:hint="cs"/>
          <w:color w:val="000000" w:themeColor="text1"/>
          <w:sz w:val="28"/>
          <w:szCs w:val="28"/>
          <w:rtl/>
          <w:lang w:bidi="fa-IR"/>
        </w:rPr>
        <w:t>، مادر بعد از سنی که حضانت فرزند شرعاً به او سپرده شده است نيز در حضانت وی اولويت پيدا می</w:t>
      </w:r>
      <w:r>
        <w:rPr>
          <w:rFonts w:cs="Abz-2 (Badr)"/>
          <w:color w:val="000000" w:themeColor="text1"/>
          <w:sz w:val="28"/>
          <w:szCs w:val="28"/>
          <w:rtl/>
          <w:lang w:bidi="fa-IR"/>
        </w:rPr>
        <w:softHyphen/>
      </w:r>
      <w:r>
        <w:rPr>
          <w:rFonts w:cs="Abz-2 (Badr)" w:hint="cs"/>
          <w:color w:val="000000" w:themeColor="text1"/>
          <w:sz w:val="28"/>
          <w:szCs w:val="28"/>
          <w:rtl/>
          <w:lang w:bidi="fa-IR"/>
        </w:rPr>
        <w:t>کند که اين موارد به شرح ذيل است:</w:t>
      </w:r>
    </w:p>
    <w:p w14:paraId="4DD649BE" w14:textId="77777777" w:rsidR="006549D8" w:rsidRPr="00416D57" w:rsidRDefault="006549D8" w:rsidP="006549D8">
      <w:pPr>
        <w:pStyle w:val="NormalWeb"/>
        <w:widowControl w:val="0"/>
        <w:bidi/>
        <w:spacing w:before="0" w:beforeAutospacing="0" w:after="0" w:afterAutospacing="0" w:line="257" w:lineRule="auto"/>
        <w:ind w:firstLine="284"/>
        <w:jc w:val="both"/>
        <w:rPr>
          <w:rFonts w:cs="Abz-2 (Badr)"/>
          <w:color w:val="FF0000"/>
          <w:sz w:val="28"/>
          <w:szCs w:val="28"/>
          <w:rtl/>
          <w:lang w:bidi="fa-IR"/>
        </w:rPr>
      </w:pPr>
      <w:r w:rsidRPr="00416D57">
        <w:rPr>
          <w:rFonts w:cs="Abz-2 (Badr)" w:hint="cs"/>
          <w:color w:val="FF0000"/>
          <w:sz w:val="28"/>
          <w:szCs w:val="28"/>
          <w:rtl/>
          <w:lang w:bidi="fa-IR"/>
        </w:rPr>
        <w:t>مورد اول: مرگ پدر</w:t>
      </w:r>
    </w:p>
    <w:p w14:paraId="30D7DBC3" w14:textId="77777777" w:rsidR="006549D8" w:rsidRDefault="006549D8" w:rsidP="006549D8">
      <w:pPr>
        <w:pStyle w:val="NormalWeb"/>
        <w:widowControl w:val="0"/>
        <w:bidi/>
        <w:spacing w:before="0" w:beforeAutospacing="0" w:after="0" w:afterAutospacing="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چنانچه پدر از دنيا برود، حضانت فرزند تا زمان بلوغ وی در اختيار مادر خواهد بود و جد پدری يا ديگر خويشان فرزند و يا وصی پدر، حق گرفتن فرزند از مادر را ندارند و بر اين مطلب ادعا عدم خلاف و بلکه اجماع شده است.</w:t>
      </w:r>
      <w:r>
        <w:rPr>
          <w:rStyle w:val="FootnoteReference"/>
          <w:rFonts w:eastAsiaTheme="majorEastAsia" w:cs="Abz-2 (Badr)"/>
          <w:rtl/>
          <w:lang w:bidi="ar"/>
        </w:rPr>
        <w:footnoteReference w:id="5"/>
      </w:r>
    </w:p>
    <w:p w14:paraId="6416843B" w14:textId="77777777" w:rsidR="006549D8" w:rsidRPr="005901FA" w:rsidRDefault="006549D8" w:rsidP="006549D8">
      <w:pPr>
        <w:pStyle w:val="NormalWeb"/>
        <w:widowControl w:val="0"/>
        <w:bidi/>
        <w:spacing w:before="0" w:beforeAutospacing="0" w:after="0" w:afterAutospacing="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صاحب حدائق در اين مدعا اشکال کرده و فرمايش ايشان را جلسه آينده مورد بررسی قرار خواهيم داد ان شاء الله.</w:t>
      </w:r>
    </w:p>
    <w:p w14:paraId="4EDBB4B5" w14:textId="77777777" w:rsidR="006549D8" w:rsidRPr="00416D57" w:rsidRDefault="006549D8" w:rsidP="006549D8">
      <w:pPr>
        <w:pStyle w:val="NormalWeb"/>
        <w:widowControl w:val="0"/>
        <w:bidi/>
        <w:spacing w:before="0" w:beforeAutospacing="0" w:after="0" w:afterAutospacing="0" w:line="257" w:lineRule="auto"/>
        <w:ind w:firstLine="284"/>
        <w:jc w:val="both"/>
        <w:rPr>
          <w:rFonts w:cs="Abz-2 (Badr)"/>
          <w:color w:val="000000" w:themeColor="text1"/>
          <w:sz w:val="28"/>
          <w:szCs w:val="28"/>
          <w:rtl/>
          <w:lang w:bidi="fa-IR"/>
        </w:rPr>
      </w:pPr>
    </w:p>
    <w:p w14:paraId="358854CE" w14:textId="2276C044" w:rsidR="0027088A" w:rsidRPr="001A284A" w:rsidRDefault="0027088A" w:rsidP="001A284A"/>
    <w:sectPr w:rsidR="0027088A" w:rsidRPr="001A284A" w:rsidSect="005A14AD">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D53D1" w14:textId="77777777" w:rsidR="00813031" w:rsidRDefault="00813031" w:rsidP="00F71127">
      <w:pPr>
        <w:spacing w:after="0" w:line="240" w:lineRule="auto"/>
      </w:pPr>
      <w:r>
        <w:separator/>
      </w:r>
    </w:p>
  </w:endnote>
  <w:endnote w:type="continuationSeparator" w:id="0">
    <w:p w14:paraId="30810124" w14:textId="77777777" w:rsidR="00813031" w:rsidRDefault="0081303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B04B3" w14:textId="77777777" w:rsidR="00813031" w:rsidRDefault="00813031" w:rsidP="00EE25C0">
      <w:pPr>
        <w:bidi/>
        <w:spacing w:after="0" w:line="240" w:lineRule="auto"/>
      </w:pPr>
      <w:r>
        <w:separator/>
      </w:r>
    </w:p>
  </w:footnote>
  <w:footnote w:type="continuationSeparator" w:id="0">
    <w:p w14:paraId="564FD168" w14:textId="77777777" w:rsidR="00813031" w:rsidRDefault="00813031" w:rsidP="00F71127">
      <w:pPr>
        <w:bidi/>
        <w:spacing w:after="0" w:line="240" w:lineRule="auto"/>
      </w:pPr>
      <w:r>
        <w:continuationSeparator/>
      </w:r>
    </w:p>
  </w:footnote>
  <w:footnote w:id="1">
    <w:p w14:paraId="5DB06575" w14:textId="77777777" w:rsidR="006549D8" w:rsidRPr="0014104A" w:rsidRDefault="006549D8" w:rsidP="006549D8">
      <w:pPr>
        <w:widowControl w:val="0"/>
        <w:bidi/>
        <w:spacing w:after="0" w:line="266" w:lineRule="auto"/>
        <w:rPr>
          <w:rFonts w:cs="Abz-2 (Badr)"/>
          <w:rtl/>
          <w:lang w:bidi="fa-IR"/>
        </w:rPr>
      </w:pPr>
      <w:r w:rsidRPr="0014104A">
        <w:rPr>
          <w:rStyle w:val="FootnoteReference"/>
          <w:rFonts w:cs="Abz-2 (Badr)"/>
          <w:vertAlign w:val="baseline"/>
        </w:rPr>
        <w:footnoteRef/>
      </w:r>
      <w:r w:rsidRPr="0014104A">
        <w:rPr>
          <w:rFonts w:cs="Abz-2 (Badr)"/>
        </w:rPr>
        <w:t xml:space="preserve"> </w:t>
      </w:r>
      <w:r w:rsidRPr="0014104A">
        <w:rPr>
          <w:rFonts w:cs="Abz-2 (Badr)" w:hint="cs"/>
          <w:rtl/>
        </w:rPr>
        <w:t>ـ مختلف الشيعة،ج7،ص306.</w:t>
      </w:r>
    </w:p>
  </w:footnote>
  <w:footnote w:id="2">
    <w:p w14:paraId="5331344F" w14:textId="77777777" w:rsidR="006549D8" w:rsidRPr="0014104A" w:rsidRDefault="006549D8" w:rsidP="006549D8">
      <w:pPr>
        <w:widowControl w:val="0"/>
        <w:bidi/>
        <w:spacing w:after="0" w:line="266" w:lineRule="auto"/>
        <w:rPr>
          <w:rFonts w:cs="Abz-2 (Badr)"/>
          <w:rtl/>
          <w:lang w:bidi="fa-IR"/>
        </w:rPr>
      </w:pPr>
      <w:r w:rsidRPr="0014104A">
        <w:rPr>
          <w:rStyle w:val="FootnoteReference"/>
          <w:rFonts w:cs="Abz-2 (Badr)"/>
          <w:vertAlign w:val="baseline"/>
        </w:rPr>
        <w:footnoteRef/>
      </w:r>
      <w:r w:rsidRPr="0014104A">
        <w:rPr>
          <w:rFonts w:cs="Abz-2 (Badr)"/>
        </w:rPr>
        <w:t xml:space="preserve"> </w:t>
      </w:r>
      <w:r w:rsidRPr="0014104A">
        <w:rPr>
          <w:rFonts w:cs="Abz-2 (Badr)" w:hint="cs"/>
          <w:rtl/>
        </w:rPr>
        <w:t xml:space="preserve">ـ </w:t>
      </w:r>
      <w:r w:rsidRPr="0014104A">
        <w:rPr>
          <w:rFonts w:cs="Abz-2 (Badr)" w:hint="cs"/>
          <w:rtl/>
        </w:rPr>
        <w:t>قواعد،ج3،ص103.</w:t>
      </w:r>
    </w:p>
  </w:footnote>
  <w:footnote w:id="3">
    <w:p w14:paraId="21B0AFBD" w14:textId="77777777" w:rsidR="006549D8" w:rsidRPr="0014104A" w:rsidRDefault="006549D8" w:rsidP="006549D8">
      <w:pPr>
        <w:widowControl w:val="0"/>
        <w:bidi/>
        <w:spacing w:after="0" w:line="266" w:lineRule="auto"/>
        <w:rPr>
          <w:rFonts w:cs="Abz-2 (Badr)"/>
          <w:rtl/>
          <w:lang w:bidi="fa-IR"/>
        </w:rPr>
      </w:pPr>
      <w:r w:rsidRPr="0014104A">
        <w:rPr>
          <w:rStyle w:val="FootnoteReference"/>
          <w:rFonts w:cs="Abz-2 (Badr)"/>
          <w:vertAlign w:val="baseline"/>
        </w:rPr>
        <w:footnoteRef/>
      </w:r>
      <w:r w:rsidRPr="0014104A">
        <w:rPr>
          <w:rFonts w:cs="Abz-2 (Badr)"/>
        </w:rPr>
        <w:t xml:space="preserve"> </w:t>
      </w:r>
      <w:r w:rsidRPr="0014104A">
        <w:rPr>
          <w:rFonts w:cs="Abz-2 (Badr)" w:hint="cs"/>
          <w:rtl/>
        </w:rPr>
        <w:t xml:space="preserve">ـ </w:t>
      </w:r>
      <w:r w:rsidRPr="0014104A">
        <w:rPr>
          <w:rFonts w:cs="Abz-2 (Badr)" w:hint="cs"/>
          <w:rtl/>
        </w:rPr>
        <w:t>تحرير،ج4،ص14.</w:t>
      </w:r>
    </w:p>
  </w:footnote>
  <w:footnote w:id="4">
    <w:p w14:paraId="1252B4DD" w14:textId="77777777" w:rsidR="006549D8" w:rsidRPr="008700F0" w:rsidRDefault="006549D8" w:rsidP="006549D8">
      <w:pPr>
        <w:widowControl w:val="0"/>
        <w:bidi/>
        <w:spacing w:after="0" w:line="266" w:lineRule="auto"/>
        <w:rPr>
          <w:rFonts w:cs="Abz-2 (Badr)"/>
          <w:rtl/>
          <w:lang w:bidi="fa-IR"/>
        </w:rPr>
      </w:pPr>
      <w:r w:rsidRPr="0014104A">
        <w:rPr>
          <w:rStyle w:val="FootnoteReference"/>
          <w:rFonts w:cs="Abz-2 (Badr)"/>
          <w:vertAlign w:val="baseline"/>
        </w:rPr>
        <w:footnoteRef/>
      </w:r>
      <w:r w:rsidRPr="008700F0">
        <w:rPr>
          <w:rFonts w:cs="Abz-2 (Badr)"/>
        </w:rPr>
        <w:t xml:space="preserve"> </w:t>
      </w:r>
      <w:r w:rsidRPr="008700F0">
        <w:rPr>
          <w:rFonts w:cs="Abz-2 (Badr)" w:hint="cs"/>
          <w:rtl/>
        </w:rPr>
        <w:t xml:space="preserve">ـ </w:t>
      </w:r>
      <w:r>
        <w:rPr>
          <w:rFonts w:cs="Abz-2 (Badr)" w:hint="cs"/>
          <w:rtl/>
        </w:rPr>
        <w:t>کشف اللثام،ج7،ص557.</w:t>
      </w:r>
    </w:p>
  </w:footnote>
  <w:footnote w:id="5">
    <w:p w14:paraId="09F1358A" w14:textId="77777777" w:rsidR="006549D8" w:rsidRPr="008700F0" w:rsidRDefault="006549D8" w:rsidP="006549D8">
      <w:pPr>
        <w:widowControl w:val="0"/>
        <w:bidi/>
        <w:spacing w:after="0" w:line="266" w:lineRule="auto"/>
        <w:rPr>
          <w:rFonts w:cs="Abz-2 (Badr)"/>
          <w:rtl/>
          <w:lang w:bidi="fa-IR"/>
        </w:rPr>
      </w:pPr>
      <w:r w:rsidRPr="0014104A">
        <w:rPr>
          <w:rStyle w:val="FootnoteReference"/>
          <w:rFonts w:cs="Abz-2 (Badr)"/>
          <w:vertAlign w:val="baseline"/>
        </w:rPr>
        <w:footnoteRef/>
      </w:r>
      <w:r w:rsidRPr="008700F0">
        <w:rPr>
          <w:rFonts w:cs="Abz-2 (Badr)"/>
        </w:rPr>
        <w:t xml:space="preserve"> </w:t>
      </w:r>
      <w:r w:rsidRPr="008700F0">
        <w:rPr>
          <w:rFonts w:cs="Abz-2 (Badr)" w:hint="cs"/>
          <w:rtl/>
        </w:rPr>
        <w:t xml:space="preserve">ـ </w:t>
      </w:r>
      <w:r>
        <w:rPr>
          <w:rFonts w:cs="Abz-2 (Badr)" w:hint="cs"/>
          <w:rtl/>
        </w:rPr>
        <w:t>جواهر،ج31،ص293.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12883B99">
              <wp:simplePos x="0" y="0"/>
              <wp:positionH relativeFrom="column">
                <wp:posOffset>1652270</wp:posOffset>
              </wp:positionH>
              <wp:positionV relativeFrom="paragraph">
                <wp:posOffset>180975</wp:posOffset>
              </wp:positionV>
              <wp:extent cx="4427220" cy="2009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200977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0769FFD7"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w:t>
                          </w:r>
                          <w:r w:rsidR="006549D8">
                            <w:rPr>
                              <w:rFonts w:cs="B Mehr" w:hint="cs"/>
                              <w:rtl/>
                              <w:lang w:bidi="fa-IR"/>
                            </w:rPr>
                            <w:t>یک</w:t>
                          </w:r>
                          <w:r w:rsidR="00615E80">
                            <w:rPr>
                              <w:rFonts w:cs="B Mehr" w:hint="cs"/>
                              <w:rtl/>
                              <w:lang w:bidi="fa-IR"/>
                            </w:rPr>
                            <w:t>شنبه</w:t>
                          </w:r>
                          <w:r>
                            <w:rPr>
                              <w:rFonts w:cs="B Mehr" w:hint="cs"/>
                              <w:rtl/>
                              <w:lang w:bidi="fa-IR"/>
                            </w:rPr>
                            <w:t xml:space="preserve"> </w:t>
                          </w:r>
                          <w:r>
                            <w:rPr>
                              <w:rFonts w:cs="B Mehr" w:hint="cs"/>
                              <w:rtl/>
                            </w:rPr>
                            <w:t xml:space="preserve">،   </w:t>
                          </w:r>
                          <w:r w:rsidR="006549D8">
                            <w:rPr>
                              <w:rFonts w:cs="B Mehr" w:hint="cs"/>
                              <w:rtl/>
                            </w:rPr>
                            <w:t>07</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30.1pt;margin-top:14.25pt;width:348.6pt;height:15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0769FFD7"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w:t>
                    </w:r>
                    <w:r w:rsidR="006549D8">
                      <w:rPr>
                        <w:rFonts w:cs="B Mehr" w:hint="cs"/>
                        <w:rtl/>
                        <w:lang w:bidi="fa-IR"/>
                      </w:rPr>
                      <w:t>یک</w:t>
                    </w:r>
                    <w:r w:rsidR="00615E80">
                      <w:rPr>
                        <w:rFonts w:cs="B Mehr" w:hint="cs"/>
                        <w:rtl/>
                        <w:lang w:bidi="fa-IR"/>
                      </w:rPr>
                      <w:t>شنبه</w:t>
                    </w:r>
                    <w:r>
                      <w:rPr>
                        <w:rFonts w:cs="B Mehr" w:hint="cs"/>
                        <w:rtl/>
                        <w:lang w:bidi="fa-IR"/>
                      </w:rPr>
                      <w:t xml:space="preserve"> </w:t>
                    </w:r>
                    <w:r>
                      <w:rPr>
                        <w:rFonts w:cs="B Mehr" w:hint="cs"/>
                        <w:rtl/>
                      </w:rPr>
                      <w:t xml:space="preserve">،   </w:t>
                    </w:r>
                    <w:r w:rsidR="006549D8">
                      <w:rPr>
                        <w:rFonts w:cs="B Mehr" w:hint="cs"/>
                        <w:rtl/>
                      </w:rPr>
                      <w:t>07</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45A6"/>
    <w:rsid w:val="00554B94"/>
    <w:rsid w:val="00554D35"/>
    <w:rsid w:val="0055671F"/>
    <w:rsid w:val="00556729"/>
    <w:rsid w:val="00556776"/>
    <w:rsid w:val="005568E8"/>
    <w:rsid w:val="00557416"/>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1573"/>
    <w:rsid w:val="00681BD4"/>
    <w:rsid w:val="006835A9"/>
    <w:rsid w:val="00683E00"/>
    <w:rsid w:val="0068409B"/>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21717</TotalTime>
  <Pages>4</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542</cp:revision>
  <cp:lastPrinted>2025-04-14T09:12:00Z</cp:lastPrinted>
  <dcterms:created xsi:type="dcterms:W3CDTF">2022-10-16T08:36:00Z</dcterms:created>
  <dcterms:modified xsi:type="dcterms:W3CDTF">2025-04-27T07:33:00Z</dcterms:modified>
</cp:coreProperties>
</file>